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7C3AED"/>
          <w:sz w:val="56"/>
          <w:szCs w:val="56"/>
        </w:rPr>
        <w:t xml:space="preserve">SWISS AI DESK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0F2B46"/>
          <w:sz w:val="40"/>
          <w:szCs w:val="40"/>
        </w:rPr>
        <w:t xml:space="preserve">CLUSTER 2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0F2B46"/>
          <w:sz w:val="36"/>
          <w:szCs w:val="36"/>
        </w:rPr>
        <w:t xml:space="preserve">LEAD → VERKAUF</w:t>
      </w:r>
    </w:p>
    <w:p>
      <w:pPr>
        <w:spacing w:after="200"/>
        <w:jc w:val="center"/>
      </w:pPr>
      <w:r>
        <w:rPr>
          <w:rFonts w:ascii="Arial" w:cs="Arial" w:eastAsia="Arial" w:hAnsi="Arial"/>
          <w:color w:val="475569"/>
          <w:sz w:val="22"/>
          <w:szCs w:val="22"/>
        </w:rPr>
        <w:t xml:space="preserve">Level 2 Blueprint + Level 3 Guides + Level 4 Templates</w:t>
      </w:r>
    </w:p>
    <w:p>
      <w:pPr>
        <w:jc w:val="center"/>
      </w:pPr>
      <w:r>
        <w:rPr>
          <w:rFonts w:ascii="Arial" w:cs="Arial" w:eastAsia="Arial" w:hAnsi="Arial"/>
          <w:color w:val="475569"/>
          <w:sz w:val="20"/>
          <w:szCs w:val="20"/>
        </w:rPr>
        <w:t xml:space="preserve">Kuble AG · März 2026 · Version 1.0</w:t>
      </w:r>
    </w:p>
    <w:p>
      <w:r>
        <w:br w:type="page"/>
      </w:r>
    </w:p>
    <w:p>
      <w:pPr>
        <w:pStyle w:val="Heading1"/>
      </w:pPr>
      <w:r>
        <w:t xml:space="preserve">LEVEL 2 BLUEPRINT: Lead → Verkauf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Sales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Geschäftsfunktion: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Sales, Marketing, Product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Prozessphase: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Interesse → Bewertung → Kauf (Cluster 2)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Aktualisierungsfrequenz: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Vierteljährlich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Ziel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Marketing Qualified Leads (MQLs) systematisch in zahlende Swiss AI Desk-Kunden konvertieren. Der Verkaufsprozess ist darauf ausgelegt, das Problem «KI-Wildwuchs» greifbar zu machen, die Plattform anfässig zu präsentieren und den Kunden durch eine klare Entscheidungsreise zu führen – vom ersten Interesse bis zum unterzeichneten Vertrag.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der Frühwachstumsphase ist jeder Deal ein Referenz-Kunde. Der Sales-Prozess muss deshalb nicht nur den Abschluss sichern, sondern auch die Grundlage für ein erfolgreiches Onboarding legen.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Umfang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Vom eingehenden MQL/Lead bis zum unterzeichneten Vertrag und der Übergabe an Customer Success.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Nicht 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Lead-Generierung (Cluster 1 Markt→Lead), Onboarding (Cluster 3), laufender Betrieb (Cluster 4).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Auslöser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Neuer MQL im CRM (Formular-Submission, Webinar-Teilnahme, Demo-Anfrage, Partner-Empfehlung) oder Outbound-Kontakt mit positivem Signal.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Schritt-für-Schritt-Ablauf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1800"/>
        <w:gridCol w:w="2400"/>
        <w:gridCol w:w="2506"/>
      </w:tblGrid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Schritt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Aktivität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Inhaber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Output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2.1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Lead-Scoring &amp; Qualifizierung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Ops / SDR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SQL oder Disqualifiziert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24–48h nach MQL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2.2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Nurturing-Sequenzen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Aufgewärmter Lead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Laufend (4–6 Wochen)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2.3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Outbound / Direct Outreach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SDR / Sales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Erstkontakt + Termin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Laufend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2.4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Discovery-Call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Executive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Qualifizierte Opportunity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Innerhalb 3 Tage nach SQL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2.5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 / Proof-of-Concept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Executive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Kaufinteresse validiert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Woche 1–2 nach Discovery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2.6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Einwandbehandlung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Executive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Einwände ausgeräumt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Laufend im Prozess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2.7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Angebotserstellung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Executive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Formelles Angebot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48h nach finaler Demo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2.8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CRM-Pipeline-Management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Saubere Pipeline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Wöchentlich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2.9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Verhandlung &amp; Abschluss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Executive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Unterzeichneter Vertrag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Ziel: 2–4 Wochen nach Angebot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2.10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Enablement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 / Sales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Aktuelle Collaterals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Laufend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2.11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KPI-Tracking &amp; Reporting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Sales-Dashboard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Wöchentlich / Monatlich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Erfolgskriterien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600"/>
        <w:gridCol w:w="2706"/>
      </w:tblGrid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Zielwert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Messung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MQL→SQL Conversion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25%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Pipeline-Report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SQL→Opportunity Conversion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40%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Pipeline-Report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Win Rate (Opportunity→Deal)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25%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Closed Won / Total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Average Sales Cycle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≤ 45 Tage (MQL→Closed Won)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Datumsdifferenz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Average Contract Value (ACV)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[Intern festlegen]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Deal-Werte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Pipeline Coverage Ratio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3x Quartalsziel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Pipeline / Ziel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Demo-to-Close Rate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30%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Demos / Abschlüsse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RACI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600"/>
        <w:gridCol w:w="2200"/>
        <w:gridCol w:w="2106"/>
      </w:tblGrid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Schritt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2.1 Scoring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SDR / Sales Ops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2.2 Nurturing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2.3 Outbound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SDR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2.4 Discovery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Product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2.5 Demo/PoC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Product, CS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2.6 Einwände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Product, Legal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2.7 Angebot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Finance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2.8 Pipeline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 Sales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2.9 Abschluss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Legal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2.10 Enablement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Sales, Product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2.11 Reporting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Ops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Häufige Fallstricke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906"/>
      </w:tblGrid>
      <w:tr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Fallstrick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Vermeidung</w:t>
            </w:r>
          </w:p>
        </w:tc>
        <w:tc>
          <w:tcPr>
            <w:tcW w:type="dxa" w:w="1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Inhaber</w:t>
            </w:r>
          </w:p>
        </w:tc>
      </w:tr>
      <w:tr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 ohne Discovery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Kein Demo-Termin ohne vorherigen Discovery-Call. BANT muss geklärt sein</w:t>
            </w:r>
          </w:p>
        </w:tc>
        <w:tc>
          <w:tcPr>
            <w:tcW w:type="dxa" w:w="1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</w:tr>
      <w:tr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Zu lange Sales Cycles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Max 3 Follow-ups nach Angebot, dann aktiv nach Entscheidung fragen</w:t>
            </w:r>
          </w:p>
        </w:tc>
        <w:tc>
          <w:tcPr>
            <w:tcW w:type="dxa" w:w="1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</w:t>
            </w:r>
          </w:p>
        </w:tc>
      </w:tr>
      <w:tr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Einwände nicht vorbereitet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Battlecards quartalsweise aktualisieren, Sales-Training monatlich</w:t>
            </w:r>
          </w:p>
        </w:tc>
        <w:tc>
          <w:tcPr>
            <w:tcW w:type="dxa" w:w="1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Marketing/Sales</w:t>
            </w:r>
          </w:p>
        </w:tc>
      </w:tr>
      <w:tr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Pipeline-Hygiene fehlt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Wöchentlicher Pipeline-Review, Deals älter 60 Tage eskalieren</w:t>
            </w:r>
          </w:p>
        </w:tc>
        <w:tc>
          <w:tcPr>
            <w:tcW w:type="dxa" w:w="1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</w:tr>
      <w:tr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Handover an CS mangelhaft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kann Deal nicht closen ohne vollständiges Handover-Template</w:t>
            </w:r>
          </w:p>
        </w:tc>
        <w:tc>
          <w:tcPr>
            <w:tcW w:type="dxa" w:w="1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</w:tr>
      <w:tr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Token-Modell verwirrt Kunden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ROI-Kalkulator und Vergleichsrechnung Standard-Bestandteil jedes Angebots</w:t>
            </w:r>
          </w:p>
        </w:tc>
        <w:tc>
          <w:tcPr>
            <w:tcW w:type="dxa" w:w="1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Account Exec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2.1: Lead-Scoring &amp; Qualifizierung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SDR / Sales Ops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24–48h nach MQL-Eingang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Scoring-Modell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4506"/>
      </w:tblGrid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Kriterium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Punkte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Beschreibung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Unternehmensgrösse 10–200 MA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+20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Innerhalb ICP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Branche mit Datensensibilität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+15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Finanzen, Gesundheit, Beratung, Verwaltung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Schweizer Unternehmen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+15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Primärmarkt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Entscheider-Rolle (GF, IT, Ops)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+20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Buying Power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 angefragt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+15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Hohes Kaufsignal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 besucht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+10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Interesse validiert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 heruntergeladen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+5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Frühes Interesse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SQL-Schwelle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50 Punkte</w:t>
            </w:r>
          </w:p>
        </w:tc>
        <w:tc>
          <w:tcPr>
            <w:tcW w:type="dxa" w:w="4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Weiter an Sales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Qualifizierungsfragen (BANT+)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Budget: Gibt es ein Budget für KI-Tools? Wie wird aktuell für KI ausgegeben (private Abos)?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Authority: Wer entscheidet über KI-Tools? Ist der Gesprächspartner diese Person?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Need: Nutzen Mitarbeitende bereits ChatGPT privat? Gibt es Datenschutzbedenken?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Timeline: Gibt es einen Zeitdruck (z.B. Audit, neue Regulierung, Strategieprojekt)?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Pain: Was ist die grösste Sorge beim Thema KI im Unternehmen?</w:t>
      </w:r>
    </w:p>
    <w:p>
      <w:r>
        <w:br w:type="page"/>
      </w:r>
    </w:p>
    <w:p>
      <w:pPr>
        <w:pStyle w:val="Heading2"/>
      </w:pPr>
      <w:r>
        <w:t xml:space="preserve">Guide 2.4: Discovery-Call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Account Executive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Innerhalb 3 Werktage nach SQL-Qualifizierung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Call-Struktur (30 Min)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65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Dauer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Fragen / Aktionen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Rapport &amp; Kontext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Kurze Vorstellung. Was hat Sie auf Swiss AI Desk aufmerksam gemacht?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Problem validieren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Nutzen Ihre MA bereits KI-Tools? Welche? Wer kontrolliert das? Gibt es Datenschutz-Vorfälle? Was würde passieren, wenn ein MA vertrauliche Daten in ChatGPT eingibt?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Impact quantifizieren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Wie viele MA nutzen KI unkontrolliert? Was kostet das an privaten Abos? Was wäre der Schaden eines Datenlecks?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Lösungsvision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7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Kurz Swiss AI Desk positionieren: Kontrolle, Swiss Hosting, Multi-Modell, Token-Modell. Noch KEINE Demo – nur Rahmen setzen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Nächste Schritte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Demo-Termin vorschlagen. Wer muss dabei sein? Welche Fragen müssen vorher geklärt werden?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Red Flags (Disqualifizierung)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Unternehmen &lt; 5 Mitarbeitende (kein KMU-Bedarf für Plattform)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Kein Budget und keine Bereitschaft, KI-Ausgaben zu konsolidieren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Entscheider nicht erreichbar oder nicht identifizierbar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Kein Problem mit aktuellem Setup («wir nutzen ChatGPT und das reicht» ohne Pain)</w:t>
      </w:r>
    </w:p>
    <w:p>
      <w:r>
        <w:br w:type="page"/>
      </w:r>
    </w:p>
    <w:p>
      <w:pPr>
        <w:pStyle w:val="Heading2"/>
      </w:pPr>
      <w:r>
        <w:t xml:space="preserve">Guide 2.5: Demo / Proof-of-Concept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Account Executive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1–2 Wochen nach Discovery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Demo-Ablauf (45 Min)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65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Dauer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Inhalt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Problem-Recap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Zusammenfassung aus Discovery: «Sie sagten, dass...» – Zeigt: Wir hören zu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Admin-Dashboard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Nutzerverwaltung, Rollen, Usage-Übersicht, Token-Kontrolle – «Das sehen Sie als Entscheider»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Modell-Auswahl live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Swiss Modell vs. Global Modell umschalten, Unterschied erklären, Datensicherheit zeigen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Use Case #1 live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15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Den im Discovery identifizierten Use Case LIVE bauen. Prompt eingeben, Ergebnis zeigen, iterieren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Kosten-Transparenz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Token-Verbrauch der Demo zeigen. Hochrechnung auf Monat. Vergleich mit «private ChatGPT-Abos»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Fragen &amp; Einwände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7 Min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Offene Fragen klären, Battlecard-Argumente bei Bedarf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Goldene Demo-Regeln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IMMER mit dem Use Case des Kunden arbeiten – nie mit generischen Beispielen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Den Kunden selbst tippen lassen wenn möglich («Hands-on»)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Token-Verbrauch LIVE zeigen – Kosten-Transparenz ist USP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Swiss vs. Global Modell-Switch demonstrieren – das hat kein Wettbewerber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Admin-Dashboard VOR dem Chat zeigen – Entscheider denken in Kontrolle, nicht in Chat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Proof-of-Concept (optional)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Für Kunden, die vor dem Vertrag testen wollen: 2-Wochen-Pilotphase mit begrenztem Token-Volumen. Max. 5 Nutzer. 1 Use Case. CS-Manager begleitet. Am Ende: Review-Call mit Ergebnissen und Kaufentscheidung.</w:t>
      </w:r>
    </w:p>
    <w:p>
      <w:r>
        <w:br w:type="page"/>
      </w:r>
    </w:p>
    <w:p>
      <w:pPr>
        <w:pStyle w:val="Heading2"/>
      </w:pPr>
      <w:r>
        <w:t xml:space="preserve">Guide 2.6: Einwandbehandlung (Battlecards)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Account Executive (Nutzung), Marketing (Pflege)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Aktualisierung: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Battlecard: vs. ChatGPT / OpenAI Team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Einwand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Antwort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«Wir nutzen schon ChatGPT, das reicht»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Genau das ist das Problem: Ihre MA nutzen ChatGPT über private Accounts. Sie haben keine Kontrolle, welche Daten geteilt werden. Swiss AI Desk gibt Ihnen ChatGPT (und mehr) – aber unter Ihrer Kontrolle.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«OpenAI Team ist günstiger»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OpenAI Team kostet $25/User/Monat – egal ob genutzt oder nicht. Bei 50 MA sind das $1’250/Monat. Mit Swiss AI Desk zahlen Sie nur, was tatsächlich genutzt wird. Plus: US-Server, kein Swiss Hosting, CLOUD Act.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«ChatGPT hat die besten Modelle»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Swiss AI Desk bietet ChatGPT-Modelle UND Claude UND Gemini UND Schweizer Modelle. Sie sind nicht auf einen Anbieter angewiesen und können immer das beste Modell für die jeweilige Aufgabe wählen.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Battlecard: vs. Microsoft Copilot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Einwand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Antwort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«Wir haben schon Microsoft, Copilot ist naheliegend»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Copilot ist tief in Office integriert – aber: US CLOUD Act gilt, kein Schweizer Hosting, kein Token-Modell (Fixpreis pro User), kein Multi-Modell. Für KMU oft zu komplex und zu teuer.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«Microsoft ist sicherer»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Microsoft Azure Schweiz löst NICHT das CLOUD Act-Problem. US-Behörden können Zugriff verlangen. Swiss AI Desk nutzt Schweizer Hosting-Provider ohne US-Jurisdiktion.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«Alle unsere Daten sind eh schon bei Microsoft»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Gerade deshalb ist Diversifizierung wichtig. Mit Swiss AI Desk haben Sie eine unabhängige KI-Schicht, die nicht an einen Vendor gebunden ist.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Battlecard: vs. Swisscom Swiss AI Assistant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Einwand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Antwort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«Swisscom ist vertrauenswürdiger»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Swisscom ist ein guter Anbieter – aber Swiss AI Assistant bietet nur einen Anwendungsfall (Chatbot für Wissensmanagement). Swiss AI Desk bietet Multi-Modell-Zugang, individualisierbare Assistenten UND Beratung + Training dazu.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«Swisscom ab CHF 149 ist günstiger»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CHF 149 gilt nur bis 10 MA (Essential). Danach steigen die Kosten schnell. Swiss AI Desk: Token-Modell – Sie zahlen nur, was genutzt wird. Keine ungenutzten Lizenzen.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«Swisscom hat besseren Support»</w:t>
            </w:r>
          </w:p>
        </w:tc>
        <w:tc>
          <w:tcPr>
            <w:tcW w:type="dxa" w:w="6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Kuble hat 15+ Jahre Beratungserfahrung, 800+ Academy-Teilnehmende und arbeitet mit UBS, Migros, ETH etc. Sie bekommen nicht nur eine Plattform, sondern Beratung + Training aus einer Hand.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2.7: Angebotserstellung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Account Executive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48h nach finaler Demo / PoC-Review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Angebotsstruktur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Ausgangslage: Problem des Kunden in 2–3 Sätzen (aus Discovery)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Lösung: Swiss AI Desk Kernfunktionen, zugeschnitten auf den Kunden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Use Cases: Priorisierte Use Cases mit erwartbarem Nutzen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4. Preismodell: Token-basiert, monatliche Abrechnung, transparente Kostenschätzung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5. ROI-Kalkulation: Vergleich IST (private Abos, Risiko Datenleck) vs. SOLL (Swiss AI Desk)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6. Onboarding-Plan: Zeitplan, Meilensteine, Ansprechpartner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7. Vertragsbedingungen: Laufzeit, Kündigungsfrist, SLA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ROI-Kalkulator (Argumentationshilfe)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5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Position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IST (ohne Swiss AI Desk)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SOLL (mit Swiss AI Desk)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KI-Kosten / Monat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[x MA × $25 ChatGPT = CHF ...]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[Geschätzter Token-Verbrauch = CHF ...]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Ungenutzte Lizenzen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30% der MA nutzen es nicht = CHF ...]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[CHF 0 – Token-Modell]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Datenleck-Risiko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[Reputationsschaden, DSGVO-Busse bis 4% Umsatz]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[Kontrolliert, Swiss Hosting, Audit-Trail]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Admin-Aufwand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[Keine Übersicht, manuelles Tracking]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[Dashboard, automatisierte Reports]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Kuble Beratung + Training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[Nicht verfügbar]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[Inkl. Onboarding + Academy-Zugang]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2.8: CRM-Pipeline-Management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Sales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Wöchentliches Pipeline-Review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Pipeline-Stages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000"/>
        <w:gridCol w:w="25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Stage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Kriterien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Max. Verweildauer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 MQL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Lead erfasst, noch nicht qualifiziert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48h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2. SQL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Scoring ≥ 50, BANT+ teilweise geklärt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 Werktage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 Discovery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Discovery-Call durchgeführt, Opportunity validiert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 Werktage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4. Demo/PoC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 gezeigt oder PoC gestartet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14 Werktage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5. Angebot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Formelles Angebot versendet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14 Werktage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6. Verhandlung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Angebot wird besprochen, Rückfragen laufen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14 Werktage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7. Abschluss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Vertrag unterzeichnet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Lost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Absage oder Disqualifizierung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Wöchentliches Review (30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Pipeline-Hygiene: Deals in Stage &gt; Max. Verweildauer? → Aktion oder Disqualifizieren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Coverage Check: Pipeline ≥ 3x Quartalsziel?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Top 5 Deals: Status, nächste Aktion, Blocker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Forecast-Aktualisierung: Commit, Best Case, Pipeline</w:t>
      </w:r>
    </w:p>
    <w:p>
      <w:r>
        <w:br w:type="page"/>
      </w:r>
    </w:p>
    <w:p>
      <w:pPr>
        <w:pStyle w:val="Heading2"/>
      </w:pPr>
      <w:r>
        <w:t xml:space="preserve">Template 2.7: Angebotsvorlage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Formelle Angebotserstellung für Swiss AI Desk-Kunden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Verwandter Guide: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Guide 2.7 – Angebotserstellung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Angebotsvorlage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Betreff: Angebot Swiss AI Desk für [Firmenname]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Sehr geehrte/r [Name],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vielen Dank für die aufschlussreichen Gespräche. Basierend auf unserer Analyse bieten wir Ihnen folgende Lösung an: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1. Ausgangslage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[2–3 Sätze: Konkretes Problem des Kunden, z.B. «Aktuell nutzen ca. [X] Mitarbeitende KI-Tools über private Accounts. Sie haben keine Kontrolle über Datenflüsse und Kosten.»]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2. Unsere Lösung: Swiss AI Desk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[Kurzbeschreibung zugeschnitten auf Kunden-Kontext: Multi-Modell, Swiss Hosting, Admin Dashboard, individualisierbare Assistenten]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3. Ihr Investition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Einrichtung: [Einmalig / Inklusiv]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Monatliche Kosten: Token-basiert, geschätzt CHF [X]–[Y] bei [Z] aktiven Nutzern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Inklusiv: Onboarding, Schulung, Academy-Zugang, [X] Stunden Beratung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Vertragslaufzeit: [12 Monate] mit [3 Monaten] Kündigungsfrist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4. Nächste Schritte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[Konkreter Call-to-Action: Termin für Vertragsgespräch, PoC-Start, etc.]</w:t>
      </w:r>
    </w:p>
    <w:p>
      <w:r>
        <w:br w:type="page"/>
      </w:r>
    </w:p>
    <w:p>
      <w:pPr>
        <w:pStyle w:val="Heading2"/>
      </w:pPr>
      <w:r>
        <w:t xml:space="preserve">Template 2.10: Sales Collateral Checkliste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Sicherstellen, dass alle Verkaufsmaterialien aktuell und vollständig sind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Aktualisierung: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 durch Marketing + Sales</w:t>
      </w:r>
    </w:p>
    <w:p>
      <w:pPr>
        <w:spacing w:before="200" w:after="2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2400"/>
        <w:gridCol w:w="23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Material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Letzte Aktualisierung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Inhaber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Pitch Deck (15 Slides)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One-Pager Swiss AI Desk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Battlecards (3 Wettbewerber)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 / Sales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ROI-Kalkulator (Excel)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Ops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Angebotsvorlage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Demo-Skript + Checkliste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FAQ-Dokument (Top 20 Fragen)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Case Studies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[Anzahl verfügbar]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 / CS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Vertragsvorlage + AGB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Legal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Datenschutz-Factsheet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[Aktuell/Veraltet]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DPO / Legal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 2.11: Sales-KPI-Dashboard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Wöchentliches und monatliches Sales-Reporting</w:t>
      </w:r>
    </w:p>
    <w:p>
      <w:pPr>
        <w:spacing w:before="200" w:after="2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2400"/>
        <w:gridCol w:w="23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Zielwert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Aktuell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Trend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Neue MQLs / Monat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MQL→SQL Rate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25%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Neue SQLs / Monat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Discovery-Calls / Monat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Demos / Monat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Win Rate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25%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Avg. Sales Cycle (Tage)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≤ 45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ACV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 CHF]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Pipeline Coverage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3x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New MRR / Monat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 CHF]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475569"/>
        <w:sz w:val="16"/>
        <w:szCs w:val="16"/>
      </w:rPr>
      <w:t xml:space="preserve">Seite </w:t>
    </w:r>
    <w:r>
      <w:rPr>
        <w:rFonts w:ascii="Arial" w:cs="Arial" w:eastAsia="Arial" w:hAnsi="Arial"/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75569"/>
        <w:sz w:val="16"/>
        <w:szCs w:val="16"/>
      </w:rPr>
      <w:t xml:space="preserve"> – Vertraulich – März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475569"/>
        <w:sz w:val="16"/>
        <w:szCs w:val="16"/>
      </w:rPr>
      <w:t xml:space="preserve">Swiss AI Desk – C2 Lead→Verkauf – Kuble 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0F2B4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7C3AED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0F2B4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2026-03-05T23:54:13.565Z</dcterms:created>
  <dcterms:modified xsi:type="dcterms:W3CDTF">2026-03-05T23:54:13.566Z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