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D9488"/>
          <w:sz w:val="56"/>
          <w:szCs w:val="56"/>
        </w:rPr>
        <w:t xml:space="preserve">SWISS AI DESK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2B46"/>
          <w:sz w:val="40"/>
          <w:szCs w:val="40"/>
        </w:rPr>
        <w:t xml:space="preserve">CLUSTER 5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F2B46"/>
          <w:sz w:val="36"/>
          <w:szCs w:val="36"/>
        </w:rPr>
        <w:t xml:space="preserve">ERFOLG → LEAD (Advocacy &amp; Wachstum)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Level 2 Blueprint + Level 3 Guides + Level 4 Templates</w:t>
      </w:r>
    </w:p>
    <w:p>
      <w:pPr>
        <w:jc w:val="center"/>
      </w:pPr>
      <w:r>
        <w:rPr>
          <w:rFonts w:ascii="Arial" w:cs="Arial" w:eastAsia="Arial" w:hAnsi="Arial"/>
          <w:color w:val="475569"/>
          <w:sz w:val="20"/>
          <w:szCs w:val="20"/>
        </w:rPr>
        <w:t xml:space="preserve">Kuble AG · März 2026 · Version 1.0</w:t>
      </w:r>
    </w:p>
    <w:p>
      <w:r>
        <w:br w:type="page"/>
      </w:r>
    </w:p>
    <w:p>
      <w:pPr>
        <w:pStyle w:val="Heading1"/>
      </w:pPr>
      <w:r>
        <w:t xml:space="preserve">LEVEL 2 BLUEPRINT: Erfolg → Lead (Advocacy)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Marketing + Head CS (gemeinsam)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Geschäftsfunktion: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Marketing, Customer Success, Partnerships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Prozessphase: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Wertrealisierung → Advocacy (Cluster 5)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Aktualisierungsfrequenz: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Vierteljährlich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Ziel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Zufriedene Kunden in aktive Wachstumstreiber verwandeln: Referenzen, Empfehlungen, Case Studies und Partner-Effekte. Cluster 5 schliesst den Kreislauf – jeder erfolgreiche Kunde erzeugt neue Leads, die wieder bei Schritt 01 eintreten.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Für Swiss AI Desk in der Frühwachstumsphase ist dieser Cluster überlebenswichtig: Ohne Referenzen und Social Proof ist der Vertrauensaufbau bei neuen KMU extrem schwierig. Jedes Testimonial, jede Case Study, jede Empfehlung ist Gold wert.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Umfang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Vom zufriedenen Kunden (NPS ≥8, aktiv seit ≥3 Monaten) bis zur Generierung neuer Leads durch Empfehlung, Referenzmaterial und Partnereffekte.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Nicht 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Laufende Kundenpflege (Cluster 4), Lead-Qualifizierung und Verkauf der Empfehlungs-Leads (Cluster 1+2).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Auslöser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NPS ≥9 im quartalsweisen Survey (automatischer Trigger)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Kunde äussert spontan Zufriedenheit im Check-in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Kunde seit ≥3 Monaten aktiv mit stabilem/wachsendem Health Score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Erfolgreiche Vertragserneuerung oder Upsell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Schritt-für-Schritt-Ablauf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600"/>
        <w:gridCol w:w="2600"/>
        <w:gridCol w:w="2506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Schritt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Aktivität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Inhaber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Output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SLA/Frequenz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5.1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Case Study erstellen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 + CS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Veröffentlichte Case Study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Innerhalb 4 Wochen nach Freigabe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5.2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Testimonial-Sammlung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Freigegebenes Zitat/Video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Innerhalb 1 Woche nach Anfrage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5.3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Review-Management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Bewertung auf Plattform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Laufend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5.4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Empfehlungsprogramm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Sales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Referral-Lead im CRM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Laufend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5.5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Partnerprogramm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Partnerships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 aktiv + vermittelt Leads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Aufbau Q2-Q3 2026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5.6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Community &amp; Events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 / CS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Event durchgeführt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5.7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Co-Marketing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Gemeinsamer Content publiziert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Gelegenheit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5.8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Empfehlungen → Funnel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 Ops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Lead mit Quelle «Referral»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Sofort bei Erhalt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5.9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Upsold Kunden → Delivery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Ops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Erweiterung im Onboarding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Upsell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5.10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Reviews → Markt-Funnel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Organische MQLs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Laufend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Erfolgskriterien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Zielwert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Messung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Case Studies verfügbar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≥3 bis Ende Q3 2026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Marketing-Tracking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Testimonials gesammelt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≥5 Zitate bis Ende Q3 2026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Marketing-Datenbank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Referral-Leads pro Monat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Wachsend, Ziel: 20% aller MQLs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CRM Lead-Source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Referral-Conversion-Rate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≥40% (höher als Cold Leads)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CRM Pipeline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Google Reviews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≥5 mit ≥4.5 Sterne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Google Business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 aktiv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≥3 Partner bis Ende 2026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Partner-Tracking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Expansion Revenue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≥20% des neuen MRR aus bestehenden Kunden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Billing-Daten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RACI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600"/>
        <w:gridCol w:w="1800"/>
        <w:gridCol w:w="23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Schritt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5.1 Case Study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Manager, Kunde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GF, 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5.2 Testimonial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5.3 Reviews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5.4 Empfehlung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5.5 Partner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Partnerships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Marketing, Sales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5.6 Community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5.7 Co-Marketing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CS, Kunde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5.8 → Funnel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 Ops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Sales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5.9 → Delivery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5.10 → Markt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5.1: Case Study erstellen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 (Erstellung), CS Manager (Kundenkontakt)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4 Wochen von Interview bis Publikation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Schritt-für-Schritt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Kandidat identifizieren: NPS ≥9, ≥3 Monate aktiv, messbare Ergebnisse, Bereitschaft zur Namensnennung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CS Manager fragt im Check-in: «Wären Sie bereit, Ihre Erfahrung als Referenz zu teilen?»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Interview planen: 30 Min Videocall, Marketing führt, CS Manager ist dabei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Interview führen (siehe Interview-Leitfaden unten)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Case Study schreiben: Struktur Problem → Lösung → Ergebnis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6. Kunden-Freigabe: Entwurf per E-Mail, 5 Werktage für Review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7. Publikation: Website, LinkedIn, Sales Collateral, Pitch Deck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Interview-Leitfaden (30 Min)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900"/>
        <w:gridCol w:w="7406"/>
      </w:tblGrid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Phase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Dauer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Fragen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Ausgangslage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8 Min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Wie war die Situation vor Swiss AI Desk? Welches Problem hatten Sie? Wie haben Mitarbeitende KI genutzt? Was war das Risiko?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Entscheidung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Warum Swiss AI Desk? Was hat den Ausschlag gegeben? Welche Alternativen wurden geprüft?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Einführung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7 Min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Wie lief die Einführung? Wie lange bis zum ersten Assistenten? Wie war die Reaktion des Teams?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Ergebnisse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7 Min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Was hat sich konkret verändert? Zahlen? Zeitersparnis? Sicherheitsgewinn? Nutzung heute vs. vorher?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Empfehlung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 Min</w:t>
            </w:r>
          </w:p>
        </w:tc>
        <w:tc>
          <w:tcPr>
            <w:tcW w:type="dxa" w:w="7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Was würden Sie anderen KMU raten? Würden Sie Swiss AI Desk weiterempfehlen?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Case Study-Struktur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Titel: «[Firmenname]: Von KI-Wildwuchs zu kontrollierter Produktivität»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Auf einen Blick: Branche, Grösse, Use Case, Key Metric (1 Zahl)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Die Ausgangslage: Problem in 3–4 Sätzen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Die Lösung: Was Swiss AI Desk konkret gemacht hat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Die Ergebnisse: 2–3 messbare Ergebnisse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Zitat: 1–2 Sätze vom Entscheider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Länge: Max. 1 Seite / 500 Wörter</w:t>
      </w:r>
    </w:p>
    <w:p>
      <w:r>
        <w:br w:type="page"/>
      </w:r>
    </w:p>
    <w:p>
      <w:pPr>
        <w:pStyle w:val="Heading2"/>
      </w:pPr>
      <w:r>
        <w:t xml:space="preserve">Guide 5.2: Testimonial-Sammlung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(Anfrage), Marketing (Verwaltung)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3 Stufen – vom Einfachsten zum Wertvollsten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200"/>
        <w:gridCol w:w="1800"/>
        <w:gridCol w:w="2200"/>
        <w:gridCol w:w="2106"/>
      </w:tblGrid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Stufe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Aufwand Kunde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Aufwand intern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Wert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1. Zitat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2–3 Sätze, schriftlich freigegeben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 Min (Bestätigung)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15 Min (Vorschlag schreiben)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Hoch – einfachster Quick Win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2. Video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30-Sekunden Selfie-Video oder Zoom-Aufnahme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 Min (Schnitt)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Sehr hoch – Social Proof auf LinkedIn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3. Case Study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Vollständige Story (siehe Guide 5.1)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 Min Interview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4–6h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Höchster Wert – Sales-Material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Zitat-Anfrage – so einfach wie möglich machen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NICHT: «Könnten Sie ein Testimonial schreiben?» (Kunde weiss nicht, was/wie)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SONDERN: «Ich habe ein Zitat vorbereitet – passt das für Sie?»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Vorbereitetes Zitat-Template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«Mit Swiss AI Desk haben wir die unkontrollierte KI-Nutzung in unserem Unternehmen in den Griff bekommen. [Spezifischer Nutzen, z.B. «Innerhalb von 2 Wochen hatte unser Team einen produktiven KI-Assistenten»]. Besonders überzeugt hat uns [USP, z.B. «das Swiss Hosting und die Multi-Modell-Freiheit»].» – [Name], [Rolle], [Firma]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Wichtig: Dem Kunden das vorbereitete Zitat zeigen und fragen: «Passt das so, oder möchten Sie etwas ändern?» 90% der Kunden bestätigen oder ändern nur Kleinigkeiten.</w:t>
      </w:r>
    </w:p>
    <w:p>
      <w:r>
        <w:br w:type="page"/>
      </w:r>
    </w:p>
    <w:p>
      <w:pPr>
        <w:pStyle w:val="Heading2"/>
      </w:pPr>
      <w:r>
        <w:t xml:space="preserve">Guide 5.3: Review-Management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Laufend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Plattformen (priorisiert)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3000"/>
        <w:gridCol w:w="35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Plattform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Priorität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Warum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Aktion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Google Business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Hoch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Sichtbarkeit bei «KI Plattform Schweiz»-Suchen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Google Business Profil für Swiss AI Desk anlegen. Nach jedem NPS ≥9 um Review bitten.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Trustpilot / OMR Reviews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Mittel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B2B-Entscheider nutzen Vergleichsplattformen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Profil anlegen. In E-Mail-Signatur verlinken.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LinkedIn (Empfehlungen)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Hoch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KMU-Entscheider sind auf LinkedIn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Kuble-Firmenseite: Kunden taggen. Empfehlung auf LinkedIn anfragen.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Capterra / G2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Später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Erst relevant ab 10+ Bewertungen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Ab 10 Kunden aktiv bespielen.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Review-Anfrage-Template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Betreff: Kurze Bitte: 2 Minuten für eine Bewertung?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Guten Tag [Vorname],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 freut mich, dass Swiss AI Desk Ihrem Team Mehrwert bringt. Dürfte ich Sie um einen kurzen Gefallen bitten? Eine ehrliche Bewertung auf [Plattform] hilft anderen KMU, die vor derselben Entscheidung stehen.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Hier ist der direkte Link: [Link]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Dauert ca. 2 Minuten. Vielen Dank!</w:t>
      </w:r>
    </w:p>
    <w:p>
      <w:r>
        <w:br w:type="page"/>
      </w:r>
    </w:p>
    <w:p>
      <w:pPr>
        <w:pStyle w:val="Heading2"/>
      </w:pPr>
      <w:r>
        <w:t xml:space="preserve">Guide 5.4: Empfehlungsprogramm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(Anfrage), Sales (Follow-up)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Programmstruktur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Element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Details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Wer kann empfehlen?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Jeder aktive Kunde mit NPS ≥8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Was ist eine Empfehlung?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Namentliche Vorstellung eines KMU-Entscheiders, der ein KI-Thema hat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Incentive (Option A)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Token-Guthaben: z.B. CHF 200 Tokens für Empfehler + CHF 200 für Neukunden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Incentive (Option B)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Keine monetären Incentives – rein beziehungsbasiert (in Frühphase oft besser)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Tracking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Im CRM: Lead-Quelle = «Referral [Firmenname]». Referrer-Feld auf Kundendatensatz.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Follow-up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Sales kontaktiert Referral innerhalb 24h. Erwähnt den Empfehler.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Feedback an Empfehler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informiert: «Vielen Dank – wir haben [Firma] kontaktiert.» Später: «[Firma] ist jetzt auch Kunde!»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Formulierung für die Anfrage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«Sie sind zufrieden mit Swiss AI Desk – kennen Sie andere Unternehmen in Ihrem Netzwerk, die vor dem gleichen Thema stehen? Eine kurze E-Mail-Vorstellung reicht – ich melde mich dann direkt.»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Timing: Im monatlichen Check-in oder nach positivem QBR. Nie im ersten Check-in (zu früh).</w:t>
      </w:r>
    </w:p>
    <w:p>
      <w:r>
        <w:br w:type="page"/>
      </w:r>
    </w:p>
    <w:p>
      <w:pPr>
        <w:pStyle w:val="Heading2"/>
      </w:pPr>
      <w:r>
        <w:t xml:space="preserve">Guide 5.5: Partnerprogramm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Partnerships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Status: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Aufbau Q2–Q3 2026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Partner-Typen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800"/>
        <w:gridCol w:w="2406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Typ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Wer</w:t>
            </w:r>
          </w:p>
        </w:tc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Warum</w:t>
            </w:r>
          </w:p>
        </w:tc>
        <w:tc>
          <w:tcPr>
            <w:tcW w:type="dxa" w:w="2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Modell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Treuhänder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Treuhandbüros, BDO, lokale Treuhänder</w:t>
            </w:r>
          </w:p>
        </w:tc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Vertraute Berater für KMU. Kennen IT-Situation der Kunden.</w:t>
            </w:r>
          </w:p>
        </w:tc>
        <w:tc>
          <w:tcPr>
            <w:tcW w:type="dxa" w:w="2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Vermittlungsprovision oder Token-Guthaben pro Neukunde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IT-Dienstleister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Managed Service Provider, IT-Berater</w:t>
            </w:r>
          </w:p>
        </w:tc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Implementieren IT-Lösungen für KMU. Swiss AI Desk passt ins Portfolio.</w:t>
            </w:r>
          </w:p>
        </w:tc>
        <w:tc>
          <w:tcPr>
            <w:tcW w:type="dxa" w:w="2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Reseller oder Referral-Modell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Verbände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Branchenverbände, KMU-Netzwerke, Handelskammern</w:t>
            </w:r>
          </w:p>
        </w:tc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Zugang zu vielen KMU gleichzeitig. Webinare, Events.</w:t>
            </w:r>
          </w:p>
        </w:tc>
        <w:tc>
          <w:tcPr>
            <w:tcW w:type="dxa" w:w="2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Co-Marketing, Webinare, Mitglieder-Rabatt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Academy-Partner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Bildungsinstitutionen, Coaches</w:t>
            </w:r>
          </w:p>
        </w:tc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Verbreiten KI-Kompetenz. Swiss AI Desk als Praxis-Tool.</w:t>
            </w:r>
          </w:p>
        </w:tc>
        <w:tc>
          <w:tcPr>
            <w:tcW w:type="dxa" w:w="24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Academy-Integration, Lizenz-Rabatt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Partner-Onboarding-Checkliste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Partner identifiziert und Erstgespräch geführt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Partnervereinbarung unterzeichnet (Provisionsmodell, Pflichten)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Partner-Schulung: Swiss AI Desk Produkt-Training (60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Sales-Material bereitgestellt (One-Pager, Pitch Deck, Demo-Zugang)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Tracking eingerichtet: Partner-spezifischer Referral-Link oder CRM-Tag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Erster gemeinsamer Lead generiert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Monatlicher Partner-Call etabliert</w:t>
      </w:r>
    </w:p>
    <w:p>
      <w:r>
        <w:br w:type="page"/>
      </w:r>
    </w:p>
    <w:p>
      <w:pPr>
        <w:pStyle w:val="Heading2"/>
      </w:pPr>
      <w:r>
        <w:t xml:space="preserve">Guide 5.6: Community &amp; Kunden-Events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 / CS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Event-Formate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1800"/>
        <w:gridCol w:w="32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Format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Aufwand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Teilnehmende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Zweck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Kunden-Lunch (Zürich)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Gering (CHF 500–1’000)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5–10 Kunden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Erfahrungsaustausch, Beziehungspflege, Feedback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Virtuelles User-Group-Treffen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Minimal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10–20 Kunden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Best Practices teilen, neue Features vorstellen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KI-Frühstück (mit Kuble Academy)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Mittel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15–30 Teiln.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Lead-Generierung + Community gleichzeitig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Kunden-Webinar («Kunde zeigt Use Case»)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Gering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30–50 Teiln.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Social Proof + Lead-Generierung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Goldene Regel: Weniger ist mehr. Ein gutes Kunden-Lunch pro Quartal bringt mehr als 10 generische Webinare. Persönlicher Kontakt = stärkste Bindung.</w:t>
      </w:r>
    </w:p>
    <w:p>
      <w:r>
        <w:br w:type="page"/>
      </w:r>
    </w:p>
    <w:p>
      <w:pPr>
        <w:pStyle w:val="Heading2"/>
      </w:pPr>
      <w:r>
        <w:t xml:space="preserve">Guide 5.7: Co-Marketing mit Kunden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Co-Marketing-Formate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25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Format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Beschreibung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Bedingung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Gemeinsamer LinkedIn-Post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«[Kundenname] nutzt Swiss AI Desk für [Use Case]» – Kunde wird getaggt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stimmt zu + gibt Freigabe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Gemeinsames Webinar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präsentiert seinen Use Case. Swiss AI Desk moderiert.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seit ≥6 Monate, starker Use Case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Blog-Beitrag mit Kundenzitat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Thematischer Blog + O-Ton vom Kunden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Zitat liegt vor (Guide 5.2)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Event-Partnerschaft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Gemeinsamer Stand oder Session auf Branchenevent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Ab 2027, wenn Kundenbasis gross genug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5.8: Referral-Tracking-Formular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Erfassung und Nachverfolgung jeder Kundenempfehlung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Sales Ops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Feld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Inhalt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Datum der Empfehlung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[TT.MM.JJJJ]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Empfohlen von (Firma)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[Bestandskunde]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Empfohlen von (Person)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[Name, Rolle]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Empfohlenes Unternehmen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[Firma]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Kontaktperson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[Name, E-Mail, Telefon]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Branche / Grösse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[z.B. Finanzdienstleistung, 65 MA]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Kontext der Empfehlung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[z.B. «Kennen sich vom Branchenverband»]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Status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[Kontaktiert / Termin / Discovery / Demo / Angebot / Gewonnen / Verloren]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Feedback an Empfehler gesendet?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[☐ Ja / ☐ Nein]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Ergebnis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[Abschluss CHF X / Verloren weil Y]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5.5: Partner-Scorecard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 Bewertung der Partner-Performance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200"/>
        <w:gridCol w:w="23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Zielwert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Q[X]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Trend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Vermittelte Leads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[≥X / Quartal]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Conversion Vermittlung → Kunde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≥30%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[%]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Umsatz aus Partner-Leads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[CHF Ziel]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[CHF]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Partner-Schulung aktuell?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Ja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[Ja/Nein]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Letzte gemeinsame Aktivität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[Datum]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Partner-Zufriedenheit (1–5)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[≥4]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[Score]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Empfehlung: Partner behalten?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Ja/Nein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[Entscheid]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Der Kreislauf: Von Erfolg zu neuem Lead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Cluster 5 schliesst den Kreislauf der Customer Journey. Jeder Output führt zurück in den Funnel: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106"/>
      </w:tblGrid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Output aus Cluster 5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Re-Entry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Ergebnis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Empfehlung von Bestandskunde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Schritt 01 (Lead erfassen), Quelle «Referral»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Höchste Conversion Rate aller Lead-Quellen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Case Study veröffentlicht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Content für Cluster 1 (Marketing), Sales Collateral Cluster 2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Vertrauensaufbau bei neuen Leads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Google Review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Organische Sichtbarkeit → neue MQLs Cluster 1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Langfristiger SEO-Effekt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Partner vermittelt Lead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Schritt 01 (Lead erfassen), Quelle «Partner»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Skalierbarer Kanal ohne Marketingkosten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Co-Marketing-Webinar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Lead-Capture Cluster 1 (Webinar-Flow)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Kunden-Story als stärkstes Verkaufsargument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Upsell bei bestehendem Kunden</w:t>
            </w:r>
          </w:p>
        </w:tc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Schritt 17 (neuen Assistenten bauen)</w:t>
            </w:r>
          </w:p>
        </w:tc>
        <w:tc>
          <w:tcPr>
            <w:tcW w:type="dxa" w:w="3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Expansion Revenue ohne Akquisitionskosten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Je mehr Kunden diesen Kreislauf erfolgreich durchlaufen, desto schneller dreht sich das Flywheel. Das Ziel: Innerhalb von 12 Monaten stammen ≥30% aller neuen Leads aus Empfehlungen und Partner-Vermittlungen.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6"/>
        <w:szCs w:val="16"/>
      </w:rPr>
      <w:t xml:space="preserve">Seite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75569"/>
        <w:sz w:val="16"/>
        <w:szCs w:val="16"/>
      </w:rPr>
      <w:t xml:space="preserve"> – Vertraulich – März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75569"/>
        <w:sz w:val="16"/>
        <w:szCs w:val="16"/>
      </w:rPr>
      <w:t xml:space="preserve">Swiss AI Desk – C5 Advocacy &amp; Wachstum – Kuble 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2B4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D9488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F2B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2026-03-06T22:20:06.828Z</dcterms:created>
  <dcterms:modified xsi:type="dcterms:W3CDTF">2026-03-06T22:20:06.829Z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